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27B0">
      <w:pPr>
        <w:pStyle w:val="a7"/>
        <w:snapToGrid w:val="0"/>
        <w:spacing w:before="0" w:after="0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国家留学基金管理委员会</w:t>
      </w:r>
      <w:r>
        <w:rPr>
          <w:rFonts w:ascii="黑体" w:eastAsia="黑体" w:hAnsi="黑体" w:hint="eastAsia"/>
          <w:sz w:val="36"/>
          <w:szCs w:val="36"/>
        </w:rPr>
        <w:t>与以色列希伯来大学</w:t>
      </w:r>
    </w:p>
    <w:p w:rsidR="00000000" w:rsidRDefault="00E927B0">
      <w:pPr>
        <w:pStyle w:val="a7"/>
        <w:snapToGrid w:val="0"/>
        <w:spacing w:before="0" w:after="0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合作</w:t>
      </w:r>
      <w:r>
        <w:rPr>
          <w:rFonts w:ascii="黑体" w:eastAsia="黑体" w:hAnsi="黑体" w:hint="eastAsia"/>
          <w:sz w:val="36"/>
          <w:szCs w:val="36"/>
        </w:rPr>
        <w:t>奖学金</w:t>
      </w:r>
    </w:p>
    <w:p w:rsidR="00000000" w:rsidRDefault="00E927B0">
      <w:pPr>
        <w:rPr>
          <w:rFonts w:hint="eastAsia"/>
        </w:rPr>
      </w:pPr>
    </w:p>
    <w:p w:rsidR="00000000" w:rsidRDefault="00E927B0">
      <w:pPr>
        <w:snapToGrid w:val="0"/>
        <w:rPr>
          <w:rFonts w:eastAsia="黑体" w:hint="eastAsia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 xml:space="preserve">    </w:t>
      </w:r>
      <w:r>
        <w:rPr>
          <w:rFonts w:ascii="黑体" w:eastAsia="黑体" w:hAnsi="黑体" w:cs="Arial" w:hint="eastAsia"/>
          <w:bCs/>
          <w:sz w:val="28"/>
          <w:szCs w:val="28"/>
        </w:rPr>
        <w:t>一、简介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耶路撒冷希伯来大学（</w:t>
      </w:r>
      <w:r>
        <w:rPr>
          <w:rFonts w:ascii="仿宋" w:eastAsia="仿宋" w:hAnsi="仿宋" w:hint="eastAsia"/>
          <w:sz w:val="28"/>
          <w:szCs w:val="28"/>
        </w:rPr>
        <w:t>The Hebrew University of Jerusalem</w:t>
      </w:r>
      <w:r>
        <w:rPr>
          <w:rFonts w:ascii="仿宋" w:eastAsia="仿宋" w:hAnsi="仿宋" w:hint="eastAsia"/>
          <w:sz w:val="28"/>
          <w:szCs w:val="28"/>
        </w:rPr>
        <w:t>）是以色列第一所大学，始创于</w:t>
      </w:r>
      <w:r>
        <w:rPr>
          <w:rFonts w:ascii="仿宋" w:eastAsia="仿宋" w:hAnsi="仿宋" w:hint="eastAsia"/>
          <w:sz w:val="28"/>
          <w:szCs w:val="28"/>
        </w:rPr>
        <w:t>1918</w:t>
      </w:r>
      <w:r>
        <w:rPr>
          <w:rFonts w:ascii="仿宋" w:eastAsia="仿宋" w:hAnsi="仿宋" w:hint="eastAsia"/>
          <w:sz w:val="28"/>
          <w:szCs w:val="28"/>
        </w:rPr>
        <w:t>年，集教学、研究于一体，</w:t>
      </w:r>
      <w:r>
        <w:rPr>
          <w:rFonts w:ascii="仿宋" w:eastAsia="仿宋" w:hAnsi="仿宋" w:hint="eastAsia"/>
          <w:sz w:val="28"/>
          <w:szCs w:val="28"/>
        </w:rPr>
        <w:t>学术实力突出。</w:t>
      </w:r>
      <w:r>
        <w:rPr>
          <w:rFonts w:ascii="仿宋" w:eastAsia="仿宋" w:hAnsi="仿宋" w:hint="eastAsia"/>
          <w:sz w:val="28"/>
          <w:szCs w:val="28"/>
        </w:rPr>
        <w:t>目前共有</w:t>
      </w:r>
      <w:r>
        <w:rPr>
          <w:rFonts w:ascii="仿宋" w:eastAsia="仿宋" w:hAnsi="仿宋" w:hint="eastAsia"/>
          <w:sz w:val="28"/>
          <w:szCs w:val="28"/>
        </w:rPr>
        <w:t>在校学</w:t>
      </w:r>
      <w:r>
        <w:rPr>
          <w:rFonts w:ascii="仿宋" w:eastAsia="仿宋" w:hAnsi="仿宋" w:hint="eastAsia"/>
          <w:sz w:val="28"/>
          <w:szCs w:val="28"/>
        </w:rPr>
        <w:t>生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万多人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教师超过</w:t>
      </w:r>
      <w:r>
        <w:rPr>
          <w:rFonts w:ascii="仿宋" w:eastAsia="仿宋" w:hAnsi="仿宋" w:hint="eastAsia"/>
          <w:sz w:val="28"/>
          <w:szCs w:val="28"/>
        </w:rPr>
        <w:t>2000</w:t>
      </w:r>
      <w:r>
        <w:rPr>
          <w:rFonts w:ascii="仿宋" w:eastAsia="仿宋" w:hAnsi="仿宋" w:hint="eastAsia"/>
          <w:sz w:val="28"/>
          <w:szCs w:val="28"/>
        </w:rPr>
        <w:t>名。希伯来大学研究人员和校友中共有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人获诺贝尔奖，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人获数学菲尔兹奖，</w:t>
      </w:r>
      <w:r>
        <w:rPr>
          <w:rFonts w:ascii="仿宋" w:eastAsia="仿宋" w:hAnsi="仿宋" w:hint="eastAsia"/>
          <w:sz w:val="28"/>
          <w:szCs w:val="28"/>
        </w:rPr>
        <w:t>269</w:t>
      </w:r>
      <w:r>
        <w:rPr>
          <w:rFonts w:ascii="仿宋" w:eastAsia="仿宋" w:hAnsi="仿宋" w:hint="eastAsia"/>
          <w:sz w:val="28"/>
          <w:szCs w:val="28"/>
        </w:rPr>
        <w:t>人获以色列奖，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人获沃尔夫奖，</w:t>
      </w:r>
      <w:r>
        <w:rPr>
          <w:rFonts w:ascii="仿宋" w:eastAsia="仿宋" w:hAnsi="仿宋" w:hint="eastAsia"/>
          <w:sz w:val="28"/>
          <w:szCs w:val="28"/>
        </w:rPr>
        <w:t>33</w:t>
      </w:r>
      <w:r>
        <w:rPr>
          <w:rFonts w:ascii="仿宋" w:eastAsia="仿宋" w:hAnsi="仿宋" w:hint="eastAsia"/>
          <w:sz w:val="28"/>
          <w:szCs w:val="28"/>
        </w:rPr>
        <w:t>人获</w:t>
      </w:r>
      <w:r>
        <w:rPr>
          <w:rFonts w:ascii="仿宋" w:eastAsia="仿宋" w:hAnsi="仿宋" w:hint="eastAsia"/>
          <w:sz w:val="28"/>
          <w:szCs w:val="28"/>
        </w:rPr>
        <w:t xml:space="preserve"> EMET</w:t>
      </w:r>
      <w:r>
        <w:rPr>
          <w:rFonts w:ascii="仿宋" w:eastAsia="仿宋" w:hAnsi="仿宋" w:hint="eastAsia"/>
          <w:sz w:val="28"/>
          <w:szCs w:val="28"/>
        </w:rPr>
        <w:t>艺术、科学与文化奖（以色列总理奖）和</w:t>
      </w:r>
      <w:r>
        <w:rPr>
          <w:rFonts w:ascii="仿宋" w:eastAsia="仿宋" w:hAnsi="仿宋" w:hint="eastAsia"/>
          <w:sz w:val="28"/>
          <w:szCs w:val="28"/>
        </w:rPr>
        <w:t>89</w:t>
      </w:r>
      <w:r>
        <w:rPr>
          <w:rFonts w:ascii="仿宋" w:eastAsia="仿宋" w:hAnsi="仿宋" w:hint="eastAsia"/>
          <w:sz w:val="28"/>
          <w:szCs w:val="28"/>
        </w:rPr>
        <w:t>人获罗斯柴尔德奖。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根据国家留学基金管理委员会</w:t>
      </w:r>
      <w:r>
        <w:rPr>
          <w:rFonts w:ascii="仿宋" w:eastAsia="仿宋" w:hAnsi="仿宋" w:hint="eastAsia"/>
          <w:sz w:val="28"/>
          <w:szCs w:val="28"/>
        </w:rPr>
        <w:t>（以下简称国家留学基金委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与以色列希伯来大学签署的合作协议，</w:t>
      </w:r>
      <w:r>
        <w:rPr>
          <w:rFonts w:ascii="仿宋" w:eastAsia="仿宋" w:hAnsi="仿宋" w:hint="eastAsia"/>
          <w:sz w:val="28"/>
          <w:szCs w:val="28"/>
        </w:rPr>
        <w:t>每年共同资助不超过</w:t>
      </w: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名学生、学者</w:t>
      </w:r>
      <w:r>
        <w:rPr>
          <w:rFonts w:ascii="仿宋" w:eastAsia="仿宋" w:hAnsi="仿宋" w:hint="eastAsia"/>
          <w:sz w:val="28"/>
          <w:szCs w:val="28"/>
        </w:rPr>
        <w:t>赴该校</w:t>
      </w:r>
      <w:r>
        <w:rPr>
          <w:rFonts w:ascii="仿宋" w:eastAsia="仿宋" w:hAnsi="仿宋" w:hint="eastAsia"/>
          <w:sz w:val="28"/>
          <w:szCs w:val="28"/>
        </w:rPr>
        <w:t>学习、研修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00000" w:rsidRDefault="00E927B0">
      <w:pPr>
        <w:snapToGrid w:val="0"/>
        <w:rPr>
          <w:rFonts w:eastAsia="黑体" w:hint="eastAsia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 xml:space="preserve">    </w:t>
      </w:r>
      <w:r>
        <w:rPr>
          <w:rFonts w:eastAsia="黑体" w:hint="eastAsia"/>
          <w:b/>
          <w:bCs/>
          <w:sz w:val="28"/>
          <w:szCs w:val="28"/>
        </w:rPr>
        <w:t>二、协议内容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sz w:val="28"/>
          <w:szCs w:val="28"/>
        </w:rPr>
        <w:t>．协议名额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年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．选派类别及留学期限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博士研究生：</w:t>
      </w:r>
      <w:r>
        <w:rPr>
          <w:rFonts w:ascii="仿宋" w:eastAsia="仿宋" w:hAnsi="仿宋" w:hint="eastAsia"/>
          <w:sz w:val="28"/>
          <w:szCs w:val="28"/>
        </w:rPr>
        <w:t>48</w:t>
      </w:r>
      <w:r>
        <w:rPr>
          <w:rFonts w:ascii="仿宋" w:eastAsia="仿宋" w:hAnsi="仿宋" w:hint="eastAsia"/>
          <w:sz w:val="28"/>
          <w:szCs w:val="28"/>
        </w:rPr>
        <w:t>个月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联合培养博士研究生：</w:t>
      </w: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24</w:t>
      </w:r>
      <w:r>
        <w:rPr>
          <w:rFonts w:ascii="仿宋" w:eastAsia="仿宋" w:hAnsi="仿宋" w:hint="eastAsia"/>
          <w:sz w:val="28"/>
          <w:szCs w:val="28"/>
        </w:rPr>
        <w:t>个月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博士后：</w:t>
      </w: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24</w:t>
      </w:r>
      <w:r>
        <w:rPr>
          <w:rFonts w:ascii="仿宋" w:eastAsia="仿宋" w:hAnsi="仿宋" w:hint="eastAsia"/>
          <w:sz w:val="28"/>
          <w:szCs w:val="28"/>
        </w:rPr>
        <w:t>个月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访问学者：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个月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r>
        <w:rPr>
          <w:rFonts w:ascii="仿宋" w:eastAsia="仿宋" w:hAnsi="仿宋" w:hint="eastAsia"/>
          <w:b/>
          <w:bCs/>
          <w:sz w:val="28"/>
          <w:szCs w:val="28"/>
        </w:rPr>
        <w:t>．选派专业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专业不限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．资助内容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国家留学基金提供一次往返国际旅费和资助期限内的奖学金；希伯来大学免除</w:t>
      </w:r>
      <w:r>
        <w:rPr>
          <w:rFonts w:ascii="仿宋" w:eastAsia="仿宋" w:hAnsi="仿宋" w:hint="eastAsia"/>
          <w:sz w:val="28"/>
          <w:szCs w:val="28"/>
        </w:rPr>
        <w:t>学费及</w:t>
      </w:r>
      <w:r>
        <w:rPr>
          <w:rFonts w:ascii="仿宋" w:eastAsia="仿宋" w:hAnsi="仿宋" w:hint="eastAsia"/>
          <w:sz w:val="28"/>
          <w:szCs w:val="28"/>
        </w:rPr>
        <w:t>研究材料费，</w:t>
      </w:r>
      <w:r>
        <w:rPr>
          <w:rFonts w:ascii="仿宋" w:eastAsia="仿宋" w:hAnsi="仿宋" w:hint="eastAsia"/>
          <w:sz w:val="28"/>
          <w:szCs w:val="28"/>
        </w:rPr>
        <w:t>并提供每月至少</w:t>
      </w:r>
      <w:r>
        <w:rPr>
          <w:rFonts w:ascii="仿宋" w:eastAsia="仿宋" w:hAnsi="仿宋" w:hint="eastAsia"/>
          <w:sz w:val="28"/>
          <w:szCs w:val="28"/>
        </w:rPr>
        <w:t>600</w:t>
      </w:r>
      <w:r>
        <w:rPr>
          <w:rFonts w:ascii="仿宋" w:eastAsia="仿宋" w:hAnsi="仿宋" w:hint="eastAsia"/>
          <w:sz w:val="28"/>
          <w:szCs w:val="28"/>
        </w:rPr>
        <w:t>美元的补贴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三、申请条件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申请人须符合</w:t>
      </w:r>
      <w:r>
        <w:rPr>
          <w:rFonts w:ascii="仿宋" w:eastAsia="仿宋" w:hAnsi="仿宋" w:hint="eastAsia"/>
          <w:sz w:val="28"/>
          <w:szCs w:val="28"/>
        </w:rPr>
        <w:t>《</w:t>
      </w:r>
      <w:hyperlink r:id="rId6" w:history="1">
        <w:r>
          <w:rPr>
            <w:rStyle w:val="a5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年国家留学基金资助出国留学人员选派简章</w:t>
        </w:r>
      </w:hyperlink>
      <w:r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规定的申请</w:t>
      </w:r>
      <w:r>
        <w:rPr>
          <w:rFonts w:ascii="仿宋" w:eastAsia="仿宋" w:hAnsi="仿宋" w:hint="eastAsia"/>
          <w:sz w:val="28"/>
          <w:szCs w:val="28"/>
        </w:rPr>
        <w:t>基本</w:t>
      </w:r>
      <w:r>
        <w:rPr>
          <w:rFonts w:ascii="仿宋" w:eastAsia="仿宋" w:hAnsi="仿宋" w:hint="eastAsia"/>
          <w:sz w:val="28"/>
          <w:szCs w:val="28"/>
        </w:rPr>
        <w:t>条件</w:t>
      </w:r>
      <w:r>
        <w:rPr>
          <w:rFonts w:ascii="仿宋" w:eastAsia="仿宋" w:hAnsi="仿宋" w:hint="eastAsia"/>
          <w:sz w:val="28"/>
          <w:szCs w:val="28"/>
        </w:rPr>
        <w:t>；同时，攻读博士学位研究生及联合培养博士研究生需符合《</w:t>
      </w:r>
      <w:hyperlink r:id="rId7" w:history="1">
        <w:r>
          <w:rPr>
            <w:rStyle w:val="a4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4"/>
            <w:rFonts w:ascii="仿宋" w:eastAsia="仿宋" w:hAnsi="仿宋" w:hint="eastAsia"/>
            <w:sz w:val="28"/>
            <w:szCs w:val="28"/>
          </w:rPr>
          <w:t>年国家建设高水平大学公派研究生项目选派办法</w:t>
        </w:r>
      </w:hyperlink>
      <w:r>
        <w:rPr>
          <w:rFonts w:ascii="仿宋" w:eastAsia="仿宋" w:hAnsi="仿宋" w:hint="eastAsia"/>
          <w:sz w:val="28"/>
          <w:szCs w:val="28"/>
        </w:rPr>
        <w:t>》规定的申请条件，博士后及访问学者需符合</w:t>
      </w:r>
      <w:r>
        <w:rPr>
          <w:rFonts w:ascii="仿宋" w:eastAsia="仿宋" w:hAnsi="仿宋" w:hint="eastAsia"/>
          <w:sz w:val="28"/>
          <w:szCs w:val="28"/>
        </w:rPr>
        <w:t>《</w:t>
      </w:r>
      <w:hyperlink r:id="rId8" w:history="1">
        <w:r>
          <w:rPr>
            <w:rStyle w:val="a5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年国家公派高级研究学者、访问学者、博士后项目选派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办法</w:t>
        </w:r>
      </w:hyperlink>
      <w:r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规定的申请条件。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申请人须已获外方正式</w:t>
      </w:r>
      <w:r>
        <w:rPr>
          <w:rFonts w:ascii="仿宋" w:eastAsia="仿宋" w:hAnsi="仿宋" w:hint="eastAsia"/>
          <w:sz w:val="28"/>
          <w:szCs w:val="28"/>
        </w:rPr>
        <w:t>邀请信</w:t>
      </w:r>
      <w:r>
        <w:rPr>
          <w:rFonts w:ascii="仿宋" w:eastAsia="仿宋" w:hAnsi="仿宋" w:hint="eastAsia"/>
          <w:sz w:val="28"/>
          <w:szCs w:val="28"/>
        </w:rPr>
        <w:t>，外语水平应达到</w:t>
      </w:r>
      <w:r>
        <w:rPr>
          <w:rFonts w:ascii="仿宋" w:eastAsia="仿宋" w:hAnsi="仿宋" w:hint="eastAsia"/>
          <w:sz w:val="28"/>
          <w:szCs w:val="28"/>
        </w:rPr>
        <w:t>希伯来大学</w:t>
      </w:r>
      <w:r>
        <w:rPr>
          <w:rFonts w:ascii="仿宋" w:eastAsia="仿宋" w:hAnsi="仿宋" w:hint="eastAsia"/>
          <w:sz w:val="28"/>
          <w:szCs w:val="28"/>
        </w:rPr>
        <w:t>的语言要求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可请</w:t>
      </w:r>
      <w:r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 w:hint="eastAsia"/>
          <w:sz w:val="28"/>
          <w:szCs w:val="28"/>
        </w:rPr>
        <w:t>方在</w:t>
      </w:r>
      <w:r>
        <w:rPr>
          <w:rFonts w:ascii="仿宋" w:eastAsia="仿宋" w:hAnsi="仿宋" w:hint="eastAsia"/>
          <w:sz w:val="28"/>
          <w:szCs w:val="28"/>
        </w:rPr>
        <w:t>邀请信</w:t>
      </w:r>
      <w:r>
        <w:rPr>
          <w:rFonts w:ascii="仿宋" w:eastAsia="仿宋" w:hAnsi="仿宋" w:hint="eastAsia"/>
          <w:sz w:val="28"/>
          <w:szCs w:val="28"/>
        </w:rPr>
        <w:t>中单独说明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四、申请办法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sz w:val="28"/>
          <w:szCs w:val="28"/>
        </w:rPr>
        <w:t>．申请准备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日前，申请人应按项目要求自行与希伯来大学联系，申请时请注明申请国家留学基金</w:t>
      </w:r>
      <w:r>
        <w:rPr>
          <w:rFonts w:ascii="仿宋" w:eastAsia="仿宋" w:hAnsi="仿宋" w:hint="eastAsia"/>
          <w:sz w:val="28"/>
          <w:szCs w:val="28"/>
        </w:rPr>
        <w:t>委</w:t>
      </w:r>
      <w:r>
        <w:rPr>
          <w:rFonts w:ascii="仿宋" w:eastAsia="仿宋" w:hAnsi="仿宋" w:hint="eastAsia"/>
          <w:sz w:val="28"/>
          <w:szCs w:val="28"/>
        </w:rPr>
        <w:t>与希伯来大学合作奖学金（</w:t>
      </w:r>
      <w:r>
        <w:rPr>
          <w:rFonts w:ascii="仿宋" w:eastAsia="仿宋" w:hAnsi="仿宋" w:hint="eastAsia"/>
          <w:sz w:val="28"/>
          <w:szCs w:val="28"/>
        </w:rPr>
        <w:t>CSC/HUJ Joint Scholarships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 xml:space="preserve">, </w:t>
      </w:r>
      <w:r>
        <w:rPr>
          <w:rFonts w:ascii="仿宋" w:eastAsia="仿宋" w:hAnsi="仿宋" w:hint="eastAsia"/>
          <w:sz w:val="28"/>
          <w:szCs w:val="28"/>
        </w:rPr>
        <w:t>并按</w:t>
      </w:r>
      <w:r>
        <w:rPr>
          <w:rFonts w:ascii="仿宋" w:eastAsia="仿宋" w:hAnsi="仿宋" w:hint="eastAsia"/>
          <w:sz w:val="28"/>
          <w:szCs w:val="28"/>
        </w:rPr>
        <w:t>外</w:t>
      </w:r>
      <w:r>
        <w:rPr>
          <w:rFonts w:ascii="仿宋" w:eastAsia="仿宋" w:hAnsi="仿宋" w:hint="eastAsia"/>
          <w:sz w:val="28"/>
          <w:szCs w:val="28"/>
        </w:rPr>
        <w:t>方要求提交申请材料。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．申请时间及方式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申请人经所在单位审核同意后，应于</w:t>
      </w:r>
      <w:r>
        <w:rPr>
          <w:rFonts w:ascii="仿宋" w:eastAsia="仿宋" w:hAnsi="仿宋" w:hint="eastAsia"/>
          <w:sz w:val="28"/>
          <w:szCs w:val="28"/>
        </w:rPr>
        <w:t>2016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日，登录国家公派留学管理信息平台（</w:t>
      </w:r>
      <w:r>
        <w:rPr>
          <w:rFonts w:ascii="仿宋" w:eastAsia="仿宋" w:hAnsi="仿宋" w:hint="eastAsia"/>
          <w:sz w:val="28"/>
          <w:szCs w:val="28"/>
        </w:rPr>
        <w:t>http://apply.csc.edu.c</w:t>
      </w:r>
      <w:r>
        <w:rPr>
          <w:rFonts w:ascii="仿宋" w:eastAsia="仿宋" w:hAnsi="仿宋" w:hint="eastAsia"/>
          <w:sz w:val="28"/>
          <w:szCs w:val="28"/>
        </w:rPr>
        <w:t>n</w:t>
      </w:r>
      <w:r>
        <w:rPr>
          <w:rFonts w:ascii="仿宋" w:eastAsia="仿宋" w:hAnsi="仿宋" w:hint="eastAsia"/>
          <w:sz w:val="28"/>
          <w:szCs w:val="28"/>
        </w:rPr>
        <w:t>）完成网上报名并向各国家留学基金申请</w:t>
      </w:r>
      <w:r>
        <w:rPr>
          <w:rFonts w:ascii="仿宋" w:eastAsia="仿宋" w:hAnsi="仿宋" w:hint="eastAsia"/>
          <w:sz w:val="28"/>
          <w:szCs w:val="28"/>
        </w:rPr>
        <w:t>受理单位</w:t>
      </w:r>
      <w:r>
        <w:rPr>
          <w:rFonts w:ascii="仿宋" w:eastAsia="仿宋" w:hAnsi="仿宋" w:hint="eastAsia"/>
          <w:sz w:val="28"/>
          <w:szCs w:val="28"/>
        </w:rPr>
        <w:t>（以下简称</w:t>
      </w:r>
      <w:r>
        <w:rPr>
          <w:rFonts w:ascii="仿宋" w:eastAsia="仿宋" w:hAnsi="仿宋" w:hint="eastAsia"/>
          <w:sz w:val="28"/>
          <w:szCs w:val="28"/>
        </w:rPr>
        <w:t>受理单位</w:t>
      </w:r>
      <w:r>
        <w:rPr>
          <w:rFonts w:ascii="仿宋" w:eastAsia="仿宋" w:hAnsi="仿宋" w:hint="eastAsia"/>
          <w:sz w:val="28"/>
          <w:szCs w:val="28"/>
        </w:rPr>
        <w:t>）提交申请材料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r>
        <w:rPr>
          <w:rFonts w:ascii="仿宋" w:eastAsia="仿宋" w:hAnsi="仿宋" w:hint="eastAsia"/>
          <w:b/>
          <w:bCs/>
          <w:sz w:val="28"/>
          <w:szCs w:val="28"/>
        </w:rPr>
        <w:t>．申请受理方式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国家留学基金委委托各受理</w:t>
      </w:r>
      <w:r>
        <w:rPr>
          <w:rFonts w:ascii="仿宋" w:eastAsia="仿宋" w:hAnsi="仿宋" w:hint="eastAsia"/>
          <w:sz w:val="28"/>
          <w:szCs w:val="28"/>
        </w:rPr>
        <w:t>单位</w:t>
      </w:r>
      <w:r>
        <w:rPr>
          <w:rFonts w:ascii="仿宋" w:eastAsia="仿宋" w:hAnsi="仿宋" w:hint="eastAsia"/>
          <w:sz w:val="28"/>
          <w:szCs w:val="28"/>
        </w:rPr>
        <w:t>负责申请受理工作。“</w:t>
      </w:r>
      <w:r>
        <w:rPr>
          <w:rFonts w:ascii="仿宋" w:eastAsia="仿宋" w:hAnsi="仿宋" w:hint="eastAsia"/>
          <w:sz w:val="28"/>
          <w:szCs w:val="28"/>
        </w:rPr>
        <w:t>211</w:t>
      </w:r>
      <w:r>
        <w:rPr>
          <w:rFonts w:ascii="仿宋" w:eastAsia="仿宋" w:hAnsi="仿宋" w:hint="eastAsia"/>
          <w:sz w:val="28"/>
          <w:szCs w:val="28"/>
        </w:rPr>
        <w:t>工程”建设高校负责受理本校人员的申请；</w:t>
      </w:r>
      <w:r>
        <w:rPr>
          <w:rFonts w:ascii="仿宋" w:eastAsia="仿宋" w:hAnsi="仿宋" w:hint="eastAsia"/>
          <w:sz w:val="28"/>
          <w:szCs w:val="28"/>
        </w:rPr>
        <w:t>在以色列自费留学人员的申请委托驻以使馆教育组负责受理；</w:t>
      </w:r>
      <w:r>
        <w:rPr>
          <w:rFonts w:ascii="仿宋" w:eastAsia="仿宋" w:hAnsi="仿宋" w:hint="eastAsia"/>
          <w:sz w:val="28"/>
          <w:szCs w:val="28"/>
        </w:rPr>
        <w:t>其他人员的申请由有关国家留学基金申请</w:t>
      </w:r>
      <w:r>
        <w:rPr>
          <w:rFonts w:ascii="仿宋" w:eastAsia="仿宋" w:hAnsi="仿宋" w:hint="eastAsia"/>
          <w:sz w:val="28"/>
          <w:szCs w:val="28"/>
        </w:rPr>
        <w:t>受理单位</w:t>
      </w:r>
      <w:r>
        <w:rPr>
          <w:rFonts w:ascii="仿宋" w:eastAsia="仿宋" w:hAnsi="仿宋" w:hint="eastAsia"/>
          <w:sz w:val="28"/>
          <w:szCs w:val="28"/>
        </w:rPr>
        <w:t>负责受理，国家留学基金委不直接受理个人申请。</w:t>
      </w:r>
    </w:p>
    <w:p w:rsidR="00000000" w:rsidRDefault="00E927B0" w:rsidP="001C326E">
      <w:pPr>
        <w:adjustRightInd w:val="0"/>
        <w:snapToGrid w:val="0"/>
        <w:spacing w:beforeLines="50" w:line="240" w:lineRule="atLeast"/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．申请时应提交的材料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攻读博士学位研究生及联合培养博士研究生请按照《</w:t>
      </w:r>
      <w:hyperlink r:id="rId9" w:history="1">
        <w:r>
          <w:rPr>
            <w:rStyle w:val="a5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年国家建设高水平大学公派研究生项目应提交的申请材料及说明（国内申请人用）</w:t>
        </w:r>
      </w:hyperlink>
      <w:r>
        <w:rPr>
          <w:rFonts w:ascii="仿宋" w:eastAsia="仿宋" w:hAnsi="仿宋" w:hint="eastAsia"/>
          <w:sz w:val="28"/>
          <w:szCs w:val="28"/>
        </w:rPr>
        <w:t>》或《</w:t>
      </w:r>
      <w:hyperlink r:id="rId10" w:history="1">
        <w:r>
          <w:rPr>
            <w:rStyle w:val="a5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年国家建设高水平大学公派研究生项目应提交的申请材料及说明（在外留学申请人用）</w:t>
        </w:r>
      </w:hyperlink>
      <w:r>
        <w:rPr>
          <w:rFonts w:ascii="仿宋" w:eastAsia="仿宋" w:hAnsi="仿宋" w:hint="eastAsia"/>
          <w:sz w:val="28"/>
          <w:szCs w:val="28"/>
        </w:rPr>
        <w:t>》准备申请材料。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博士后及访问学者</w:t>
      </w:r>
      <w:r>
        <w:rPr>
          <w:rFonts w:ascii="仿宋" w:eastAsia="仿宋" w:hAnsi="仿宋" w:hint="eastAsia"/>
          <w:sz w:val="28"/>
          <w:szCs w:val="28"/>
        </w:rPr>
        <w:t>请按照</w:t>
      </w:r>
      <w:r>
        <w:rPr>
          <w:rFonts w:ascii="仿宋" w:eastAsia="仿宋" w:hAnsi="仿宋" w:hint="eastAsia"/>
          <w:sz w:val="28"/>
          <w:szCs w:val="28"/>
        </w:rPr>
        <w:t>《</w:t>
      </w:r>
      <w:hyperlink r:id="rId11" w:history="1">
        <w:r>
          <w:rPr>
            <w:rStyle w:val="a5"/>
            <w:rFonts w:ascii="仿宋" w:eastAsia="仿宋" w:hAnsi="仿宋" w:hint="eastAsia"/>
            <w:sz w:val="28"/>
            <w:szCs w:val="28"/>
          </w:rPr>
          <w:t>2016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年</w:t>
        </w:r>
        <w:r>
          <w:rPr>
            <w:rStyle w:val="a5"/>
            <w:rFonts w:ascii="仿宋" w:eastAsia="仿宋" w:hAnsi="仿宋" w:hint="eastAsia"/>
            <w:sz w:val="28"/>
            <w:szCs w:val="28"/>
          </w:rPr>
          <w:t>国家公派高级研究学者、访问学者、博士后项目申请材料及说明</w:t>
        </w:r>
      </w:hyperlink>
      <w:r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准备申请材料。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五、评审及录取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</w:t>
      </w:r>
      <w:r>
        <w:rPr>
          <w:rFonts w:ascii="仿宋" w:eastAsia="仿宋" w:hAnsi="仿宋" w:hint="eastAsia"/>
          <w:sz w:val="28"/>
          <w:szCs w:val="28"/>
        </w:rPr>
        <w:t>留学基金委对申请人材料进行资格审核，组织专家评审，</w:t>
      </w:r>
      <w:r>
        <w:rPr>
          <w:rFonts w:ascii="仿宋" w:eastAsia="仿宋" w:hAnsi="仿宋" w:hint="eastAsia"/>
          <w:sz w:val="28"/>
          <w:szCs w:val="28"/>
        </w:rPr>
        <w:t>并在希伯来大学提供的录取名单基础上</w:t>
      </w:r>
      <w:r>
        <w:rPr>
          <w:rFonts w:ascii="仿宋" w:eastAsia="仿宋" w:hAnsi="仿宋" w:hint="eastAsia"/>
          <w:sz w:val="28"/>
          <w:szCs w:val="28"/>
        </w:rPr>
        <w:t>确定录取结果。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六、派出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被录取人员请自行对外联系入学报到等事宜。具体时间以外方</w:t>
      </w:r>
      <w:r>
        <w:rPr>
          <w:rFonts w:ascii="仿宋" w:eastAsia="仿宋" w:hAnsi="仿宋" w:hint="eastAsia"/>
          <w:sz w:val="28"/>
          <w:szCs w:val="28"/>
        </w:rPr>
        <w:t>邀请信</w:t>
      </w:r>
      <w:r>
        <w:rPr>
          <w:rFonts w:ascii="仿宋" w:eastAsia="仿宋" w:hAnsi="仿宋" w:hint="eastAsia"/>
          <w:sz w:val="28"/>
          <w:szCs w:val="28"/>
        </w:rPr>
        <w:t>为准。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七、咨询方式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国家留学基金管理委员会亚非事务部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地址：北京市车公庄大街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号五栋大楼</w:t>
      </w:r>
      <w:r>
        <w:rPr>
          <w:rFonts w:ascii="仿宋" w:eastAsia="仿宋" w:hAnsi="仿宋" w:hint="eastAsia"/>
          <w:sz w:val="28"/>
          <w:szCs w:val="28"/>
        </w:rPr>
        <w:t>A3</w:t>
      </w:r>
      <w:r>
        <w:rPr>
          <w:rFonts w:ascii="仿宋" w:eastAsia="仿宋" w:hAnsi="仿宋" w:hint="eastAsia"/>
          <w:sz w:val="28"/>
          <w:szCs w:val="28"/>
        </w:rPr>
        <w:t>座</w:t>
      </w:r>
      <w:r>
        <w:rPr>
          <w:rFonts w:ascii="仿宋" w:eastAsia="仿宋" w:hAnsi="仿宋" w:hint="eastAsia"/>
          <w:sz w:val="28"/>
          <w:szCs w:val="28"/>
        </w:rPr>
        <w:t>13</w:t>
      </w:r>
      <w:r>
        <w:rPr>
          <w:rFonts w:ascii="仿宋" w:eastAsia="仿宋" w:hAnsi="仿宋" w:hint="eastAsia"/>
          <w:sz w:val="28"/>
          <w:szCs w:val="28"/>
        </w:rPr>
        <w:t>层（邮编：</w:t>
      </w:r>
      <w:r>
        <w:rPr>
          <w:rFonts w:ascii="仿宋" w:eastAsia="仿宋" w:hAnsi="仿宋" w:hint="eastAsia"/>
          <w:sz w:val="28"/>
          <w:szCs w:val="28"/>
        </w:rPr>
        <w:t>100044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联系人：孟利君</w:t>
      </w:r>
      <w:r>
        <w:rPr>
          <w:rFonts w:ascii="仿宋" w:eastAsia="仿宋" w:hAnsi="仿宋" w:hint="eastAsia"/>
          <w:sz w:val="28"/>
          <w:szCs w:val="28"/>
        </w:rPr>
        <w:t xml:space="preserve">               </w:t>
      </w:r>
      <w:r>
        <w:rPr>
          <w:rFonts w:ascii="仿宋" w:eastAsia="仿宋" w:hAnsi="仿宋" w:hint="eastAsia"/>
          <w:sz w:val="28"/>
          <w:szCs w:val="28"/>
        </w:rPr>
        <w:t>联系电话：</w:t>
      </w:r>
      <w:r>
        <w:rPr>
          <w:rFonts w:ascii="仿宋" w:eastAsia="仿宋" w:hAnsi="仿宋" w:hint="eastAsia"/>
          <w:sz w:val="28"/>
          <w:szCs w:val="28"/>
        </w:rPr>
        <w:t>010-66093939</w:t>
      </w:r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宋体" w:cs="宋体"/>
          <w:sz w:val="24"/>
        </w:rPr>
      </w:pPr>
      <w:r>
        <w:rPr>
          <w:rFonts w:ascii="仿宋" w:eastAsia="仿宋" w:hAnsi="仿宋" w:hint="eastAsia"/>
          <w:sz w:val="28"/>
          <w:szCs w:val="28"/>
        </w:rPr>
        <w:t>传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真：</w:t>
      </w:r>
      <w:r>
        <w:rPr>
          <w:rFonts w:ascii="仿宋" w:eastAsia="仿宋" w:hAnsi="仿宋" w:hint="eastAsia"/>
          <w:sz w:val="28"/>
          <w:szCs w:val="28"/>
        </w:rPr>
        <w:t xml:space="preserve">010-66093581         </w:t>
      </w:r>
      <w:r>
        <w:rPr>
          <w:rFonts w:ascii="仿宋" w:eastAsia="仿宋" w:hAnsi="仿宋" w:hint="eastAsia"/>
          <w:sz w:val="28"/>
          <w:szCs w:val="28"/>
        </w:rPr>
        <w:t>电子邮件：</w:t>
      </w:r>
      <w:hyperlink r:id="rId12" w:history="1">
        <w:r>
          <w:rPr>
            <w:rFonts w:ascii="仿宋" w:eastAsia="仿宋" w:hAnsi="仿宋" w:hint="eastAsia"/>
            <w:sz w:val="28"/>
            <w:szCs w:val="28"/>
          </w:rPr>
          <w:t>ljmeng@csc.edu.cn</w:t>
        </w:r>
      </w:hyperlink>
    </w:p>
    <w:p w:rsidR="00000000" w:rsidRDefault="00E927B0">
      <w:pPr>
        <w:adjustRightInd w:val="0"/>
        <w:snapToGrid w:val="0"/>
        <w:spacing w:beforeLines="50" w:line="240" w:lineRule="atLeas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八、申请及选派程序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751"/>
        <w:gridCol w:w="1274"/>
        <w:gridCol w:w="964"/>
        <w:gridCol w:w="2816"/>
        <w:gridCol w:w="2855"/>
      </w:tblGrid>
      <w:tr w:rsidR="00000000">
        <w:trPr>
          <w:trHeight w:val="375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序号</w:t>
            </w:r>
          </w:p>
        </w:tc>
        <w:tc>
          <w:tcPr>
            <w:tcW w:w="1274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时间</w:t>
            </w: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步骤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具体内容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备注</w:t>
            </w:r>
          </w:p>
        </w:tc>
      </w:tr>
      <w:tr w:rsidR="00000000">
        <w:trPr>
          <w:trHeight w:val="1049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27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6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>20</w:t>
            </w:r>
            <w:r>
              <w:rPr>
                <w:rFonts w:ascii="宋体" w:hint="eastAsia"/>
              </w:rPr>
              <w:t>日前</w:t>
            </w: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申请</w:t>
            </w:r>
          </w:p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准备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申请人应按项目要求对外联系，提交对外申请材料并取得外方正式</w:t>
            </w:r>
            <w:r>
              <w:rPr>
                <w:rFonts w:ascii="宋体" w:hint="eastAsia"/>
              </w:rPr>
              <w:t>邀请信</w:t>
            </w:r>
            <w:r>
              <w:rPr>
                <w:rFonts w:ascii="宋体" w:hint="eastAsia"/>
              </w:rPr>
              <w:t>。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</w:p>
        </w:tc>
      </w:tr>
      <w:tr w:rsidR="00000000">
        <w:trPr>
          <w:trHeight w:val="1735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27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6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>20</w:t>
            </w:r>
            <w:r>
              <w:rPr>
                <w:rFonts w:ascii="宋体" w:hint="eastAsia"/>
              </w:rPr>
              <w:t>—</w:t>
            </w:r>
            <w:r>
              <w:rPr>
                <w:rFonts w:ascii="宋体" w:hint="eastAsia"/>
              </w:rPr>
              <w:t>30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报名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申请人经所在单位审核同意后，进行网上报名并按要求向各受理单位提交申请材料。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申请时应提</w:t>
            </w:r>
            <w:r>
              <w:rPr>
                <w:rFonts w:ascii="宋体" w:hint="eastAsia"/>
              </w:rPr>
              <w:t>交</w:t>
            </w:r>
            <w:r>
              <w:rPr>
                <w:rFonts w:ascii="宋体" w:hint="eastAsia"/>
              </w:rPr>
              <w:t>正式</w:t>
            </w:r>
            <w:r>
              <w:rPr>
                <w:rFonts w:ascii="宋体" w:hint="eastAsia"/>
              </w:rPr>
              <w:t>邀请信</w:t>
            </w:r>
            <w:r>
              <w:rPr>
                <w:rFonts w:ascii="宋体" w:hint="eastAsia"/>
              </w:rPr>
              <w:t>及规定的其它申请材料。</w:t>
            </w:r>
          </w:p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各</w:t>
            </w:r>
            <w:r>
              <w:rPr>
                <w:rFonts w:ascii="宋体" w:hint="eastAsia"/>
              </w:rPr>
              <w:t>受理单位</w:t>
            </w:r>
            <w:r>
              <w:rPr>
                <w:rFonts w:ascii="宋体" w:hint="eastAsia"/>
              </w:rPr>
              <w:t>整理申请材料并</w:t>
            </w:r>
            <w:r>
              <w:rPr>
                <w:rFonts w:ascii="宋体" w:hint="eastAsia"/>
              </w:rPr>
              <w:t>向国家留学基金委推荐人选</w:t>
            </w:r>
            <w:r>
              <w:rPr>
                <w:rFonts w:ascii="宋体" w:hint="eastAsia"/>
              </w:rPr>
              <w:t>。</w:t>
            </w:r>
          </w:p>
        </w:tc>
      </w:tr>
      <w:tr w:rsidR="00000000">
        <w:trPr>
          <w:trHeight w:val="1049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27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7</w:t>
            </w:r>
            <w:r>
              <w:rPr>
                <w:rFonts w:ascii="宋体" w:hint="eastAsia"/>
              </w:rPr>
              <w:t>月</w:t>
            </w: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评审、录取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国家留学基金委组织专家对申请材料进行评审，</w:t>
            </w:r>
            <w:r>
              <w:rPr>
                <w:rFonts w:ascii="宋体" w:hint="eastAsia"/>
              </w:rPr>
              <w:t>完成录取工作并公布录取名单。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录取通知将通过受理单位转发至申请人。</w:t>
            </w:r>
          </w:p>
        </w:tc>
      </w:tr>
      <w:tr w:rsidR="00000000">
        <w:trPr>
          <w:trHeight w:val="1735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274" w:type="dxa"/>
            <w:vMerge w:val="restart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8</w:t>
            </w:r>
            <w:r>
              <w:rPr>
                <w:rFonts w:ascii="宋体" w:hint="eastAsia"/>
              </w:rPr>
              <w:t>月起</w:t>
            </w: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符合派出要求者，办理派出手续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联系留服机构办理签证申请、机票预订手续；</w:t>
            </w:r>
          </w:p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 xml:space="preserve">2. </w:t>
            </w:r>
            <w:r>
              <w:rPr>
                <w:rFonts w:ascii="宋体" w:hint="eastAsia"/>
              </w:rPr>
              <w:t>签订《资助出国留学协议书》并办理公证、交存保证金，办理《国际旅行健康证明书》。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详见《出国留学人员须知》</w:t>
            </w:r>
          </w:p>
        </w:tc>
      </w:tr>
      <w:tr w:rsidR="00000000">
        <w:trPr>
          <w:trHeight w:val="1060"/>
        </w:trPr>
        <w:tc>
          <w:tcPr>
            <w:tcW w:w="751" w:type="dxa"/>
            <w:vAlign w:val="center"/>
          </w:tcPr>
          <w:p w:rsidR="00000000" w:rsidRDefault="00E927B0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274" w:type="dxa"/>
            <w:vMerge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</w:p>
        </w:tc>
        <w:tc>
          <w:tcPr>
            <w:tcW w:w="964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派出</w:t>
            </w:r>
          </w:p>
        </w:tc>
        <w:tc>
          <w:tcPr>
            <w:tcW w:w="2816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联系留服机构领取机票、签证等，陆续派出。</w:t>
            </w:r>
          </w:p>
        </w:tc>
        <w:tc>
          <w:tcPr>
            <w:tcW w:w="2855" w:type="dxa"/>
            <w:vAlign w:val="center"/>
          </w:tcPr>
          <w:p w:rsidR="00000000" w:rsidRDefault="00E927B0">
            <w:pPr>
              <w:spacing w:line="24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须按校方规定的时间派出。未按期派出者，留学资格自动取消。</w:t>
            </w:r>
          </w:p>
        </w:tc>
      </w:tr>
    </w:tbl>
    <w:p w:rsidR="00000000" w:rsidRDefault="00E927B0">
      <w:pPr>
        <w:spacing w:line="240" w:lineRule="atLeast"/>
        <w:rPr>
          <w:rFonts w:ascii="宋体" w:hint="eastAsia"/>
        </w:rPr>
      </w:pPr>
    </w:p>
    <w:p w:rsidR="00000000" w:rsidRDefault="00E927B0">
      <w:pPr>
        <w:spacing w:line="400" w:lineRule="exact"/>
        <w:rPr>
          <w:rFonts w:eastAsia="仿宋_GB2312" w:hint="eastAsia"/>
          <w:b/>
          <w:sz w:val="24"/>
        </w:rPr>
      </w:pPr>
    </w:p>
    <w:p w:rsidR="00000000" w:rsidRDefault="00E927B0">
      <w:pPr>
        <w:spacing w:line="400" w:lineRule="exact"/>
        <w:rPr>
          <w:rFonts w:eastAsia="仿宋_GB2312" w:hint="eastAsia"/>
          <w:b/>
          <w:sz w:val="24"/>
        </w:rPr>
      </w:pPr>
    </w:p>
    <w:p w:rsidR="00000000" w:rsidRDefault="00E927B0">
      <w:pPr>
        <w:spacing w:line="400" w:lineRule="exact"/>
        <w:rPr>
          <w:rFonts w:eastAsia="仿宋_GB2312" w:hint="eastAsia"/>
          <w:b/>
          <w:sz w:val="24"/>
        </w:rPr>
      </w:pPr>
    </w:p>
    <w:p w:rsidR="00000000" w:rsidRDefault="00E927B0">
      <w:pPr>
        <w:spacing w:line="400" w:lineRule="exact"/>
        <w:rPr>
          <w:rFonts w:eastAsia="仿宋_GB2312" w:hint="eastAsia"/>
          <w:b/>
          <w:sz w:val="24"/>
        </w:rPr>
      </w:pPr>
    </w:p>
    <w:p w:rsidR="00000000" w:rsidRDefault="00E927B0">
      <w:pPr>
        <w:spacing w:line="400" w:lineRule="exact"/>
        <w:rPr>
          <w:rFonts w:eastAsia="仿宋_GB2312" w:hint="eastAsia"/>
          <w:b/>
          <w:sz w:val="24"/>
        </w:rPr>
      </w:pPr>
    </w:p>
    <w:p w:rsidR="00E927B0" w:rsidRDefault="00E927B0">
      <w:pPr>
        <w:spacing w:line="400" w:lineRule="exact"/>
        <w:rPr>
          <w:rFonts w:eastAsia="仿宋_GB2312" w:hint="eastAsia"/>
          <w:b/>
          <w:sz w:val="24"/>
        </w:rPr>
      </w:pPr>
    </w:p>
    <w:sectPr w:rsidR="00E927B0">
      <w:pgSz w:w="11906" w:h="16838"/>
      <w:pgMar w:top="1440" w:right="1800" w:bottom="1440" w:left="1800" w:header="709" w:footer="709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7B0" w:rsidRDefault="00E927B0" w:rsidP="001C326E">
      <w:r>
        <w:separator/>
      </w:r>
    </w:p>
  </w:endnote>
  <w:endnote w:type="continuationSeparator" w:id="1">
    <w:p w:rsidR="00E927B0" w:rsidRDefault="00E927B0" w:rsidP="001C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7B0" w:rsidRDefault="00E927B0" w:rsidP="001C326E">
      <w:r>
        <w:separator/>
      </w:r>
    </w:p>
  </w:footnote>
  <w:footnote w:type="continuationSeparator" w:id="1">
    <w:p w:rsidR="00E927B0" w:rsidRDefault="00E927B0" w:rsidP="001C32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7F5155"/>
    <w:rsid w:val="000179B6"/>
    <w:rsid w:val="00025734"/>
    <w:rsid w:val="00030AED"/>
    <w:rsid w:val="00031319"/>
    <w:rsid w:val="00032C4A"/>
    <w:rsid w:val="00062183"/>
    <w:rsid w:val="00062641"/>
    <w:rsid w:val="0006452F"/>
    <w:rsid w:val="00090345"/>
    <w:rsid w:val="000A7251"/>
    <w:rsid w:val="000B38E8"/>
    <w:rsid w:val="000C5DB3"/>
    <w:rsid w:val="000F2793"/>
    <w:rsid w:val="000F683A"/>
    <w:rsid w:val="000F7FCA"/>
    <w:rsid w:val="00114509"/>
    <w:rsid w:val="00150669"/>
    <w:rsid w:val="00157094"/>
    <w:rsid w:val="00162799"/>
    <w:rsid w:val="001630EC"/>
    <w:rsid w:val="00177062"/>
    <w:rsid w:val="001847CB"/>
    <w:rsid w:val="00186AA4"/>
    <w:rsid w:val="001A44DC"/>
    <w:rsid w:val="001A5A78"/>
    <w:rsid w:val="001C1DC1"/>
    <w:rsid w:val="001C326E"/>
    <w:rsid w:val="001D34D8"/>
    <w:rsid w:val="00212DD3"/>
    <w:rsid w:val="0022461A"/>
    <w:rsid w:val="00227256"/>
    <w:rsid w:val="00235267"/>
    <w:rsid w:val="0023631C"/>
    <w:rsid w:val="002573B6"/>
    <w:rsid w:val="00270F5A"/>
    <w:rsid w:val="00293908"/>
    <w:rsid w:val="002B5669"/>
    <w:rsid w:val="002F0BAC"/>
    <w:rsid w:val="002F1D03"/>
    <w:rsid w:val="002F6D84"/>
    <w:rsid w:val="003127D3"/>
    <w:rsid w:val="00363EDB"/>
    <w:rsid w:val="00382BD5"/>
    <w:rsid w:val="00383144"/>
    <w:rsid w:val="003944C3"/>
    <w:rsid w:val="003A1AB7"/>
    <w:rsid w:val="003C414E"/>
    <w:rsid w:val="003C509F"/>
    <w:rsid w:val="003D1FF6"/>
    <w:rsid w:val="003F6DCE"/>
    <w:rsid w:val="0040199B"/>
    <w:rsid w:val="00410D62"/>
    <w:rsid w:val="004122AF"/>
    <w:rsid w:val="00413688"/>
    <w:rsid w:val="00431D94"/>
    <w:rsid w:val="00446E63"/>
    <w:rsid w:val="00450A20"/>
    <w:rsid w:val="00460FD6"/>
    <w:rsid w:val="00485CAE"/>
    <w:rsid w:val="00486BEF"/>
    <w:rsid w:val="00494BC7"/>
    <w:rsid w:val="004C0AE1"/>
    <w:rsid w:val="004C7F2D"/>
    <w:rsid w:val="004D5BD1"/>
    <w:rsid w:val="004E2C23"/>
    <w:rsid w:val="005155AE"/>
    <w:rsid w:val="00527214"/>
    <w:rsid w:val="005404C4"/>
    <w:rsid w:val="00544EDE"/>
    <w:rsid w:val="00547872"/>
    <w:rsid w:val="00551FB5"/>
    <w:rsid w:val="005539D2"/>
    <w:rsid w:val="005673F5"/>
    <w:rsid w:val="00576C19"/>
    <w:rsid w:val="00583C81"/>
    <w:rsid w:val="00594AC6"/>
    <w:rsid w:val="005A27CF"/>
    <w:rsid w:val="005C28EF"/>
    <w:rsid w:val="005D47A2"/>
    <w:rsid w:val="005F7464"/>
    <w:rsid w:val="00625189"/>
    <w:rsid w:val="0063120E"/>
    <w:rsid w:val="00643A8F"/>
    <w:rsid w:val="006442C4"/>
    <w:rsid w:val="00646B76"/>
    <w:rsid w:val="00651297"/>
    <w:rsid w:val="006513C0"/>
    <w:rsid w:val="00661F74"/>
    <w:rsid w:val="00662882"/>
    <w:rsid w:val="00663FF6"/>
    <w:rsid w:val="00663FFB"/>
    <w:rsid w:val="00683527"/>
    <w:rsid w:val="00683D26"/>
    <w:rsid w:val="00693640"/>
    <w:rsid w:val="006C4317"/>
    <w:rsid w:val="006C4888"/>
    <w:rsid w:val="006E2392"/>
    <w:rsid w:val="00713DD5"/>
    <w:rsid w:val="00713DEC"/>
    <w:rsid w:val="007211A1"/>
    <w:rsid w:val="00721B3B"/>
    <w:rsid w:val="00733523"/>
    <w:rsid w:val="00733872"/>
    <w:rsid w:val="00741C83"/>
    <w:rsid w:val="00742DBD"/>
    <w:rsid w:val="0075252E"/>
    <w:rsid w:val="007545A9"/>
    <w:rsid w:val="00761E66"/>
    <w:rsid w:val="00771C0A"/>
    <w:rsid w:val="00793514"/>
    <w:rsid w:val="0079498D"/>
    <w:rsid w:val="007A37CD"/>
    <w:rsid w:val="007A5B46"/>
    <w:rsid w:val="007B0560"/>
    <w:rsid w:val="007B1B0B"/>
    <w:rsid w:val="007C4CE5"/>
    <w:rsid w:val="007D6044"/>
    <w:rsid w:val="007E1393"/>
    <w:rsid w:val="007E6537"/>
    <w:rsid w:val="007F21B0"/>
    <w:rsid w:val="007F5155"/>
    <w:rsid w:val="007F7D5A"/>
    <w:rsid w:val="00832E75"/>
    <w:rsid w:val="008459F5"/>
    <w:rsid w:val="0085567C"/>
    <w:rsid w:val="00873D71"/>
    <w:rsid w:val="008741B7"/>
    <w:rsid w:val="00875218"/>
    <w:rsid w:val="0089340B"/>
    <w:rsid w:val="00897011"/>
    <w:rsid w:val="008B4A03"/>
    <w:rsid w:val="008C5B22"/>
    <w:rsid w:val="008E10A5"/>
    <w:rsid w:val="008E564F"/>
    <w:rsid w:val="00906C3A"/>
    <w:rsid w:val="00936EA9"/>
    <w:rsid w:val="00947BD2"/>
    <w:rsid w:val="00947F7F"/>
    <w:rsid w:val="00953511"/>
    <w:rsid w:val="00954991"/>
    <w:rsid w:val="00957CEB"/>
    <w:rsid w:val="009618A6"/>
    <w:rsid w:val="00963662"/>
    <w:rsid w:val="00966A76"/>
    <w:rsid w:val="0097534F"/>
    <w:rsid w:val="009764AB"/>
    <w:rsid w:val="0098354C"/>
    <w:rsid w:val="00986422"/>
    <w:rsid w:val="0099555C"/>
    <w:rsid w:val="009B4E2B"/>
    <w:rsid w:val="009B681F"/>
    <w:rsid w:val="009C5113"/>
    <w:rsid w:val="009E3FA8"/>
    <w:rsid w:val="00A057F9"/>
    <w:rsid w:val="00A20B5F"/>
    <w:rsid w:val="00A3035D"/>
    <w:rsid w:val="00A33197"/>
    <w:rsid w:val="00A539DD"/>
    <w:rsid w:val="00A71CF6"/>
    <w:rsid w:val="00A9086E"/>
    <w:rsid w:val="00AA1838"/>
    <w:rsid w:val="00AA18A8"/>
    <w:rsid w:val="00AA3490"/>
    <w:rsid w:val="00AC1C5A"/>
    <w:rsid w:val="00AC3FB3"/>
    <w:rsid w:val="00AE7089"/>
    <w:rsid w:val="00B03FB0"/>
    <w:rsid w:val="00B12DDF"/>
    <w:rsid w:val="00B402DC"/>
    <w:rsid w:val="00B53837"/>
    <w:rsid w:val="00B60562"/>
    <w:rsid w:val="00BA3AAF"/>
    <w:rsid w:val="00BD1584"/>
    <w:rsid w:val="00BD4DE0"/>
    <w:rsid w:val="00BF2785"/>
    <w:rsid w:val="00C0347A"/>
    <w:rsid w:val="00C077C4"/>
    <w:rsid w:val="00C24F0E"/>
    <w:rsid w:val="00C369E5"/>
    <w:rsid w:val="00C404DE"/>
    <w:rsid w:val="00C44ED7"/>
    <w:rsid w:val="00C5058D"/>
    <w:rsid w:val="00C50B2C"/>
    <w:rsid w:val="00C615DA"/>
    <w:rsid w:val="00C76C3C"/>
    <w:rsid w:val="00C973FC"/>
    <w:rsid w:val="00CA2637"/>
    <w:rsid w:val="00CA7B4D"/>
    <w:rsid w:val="00CD7BBF"/>
    <w:rsid w:val="00CF3E80"/>
    <w:rsid w:val="00D01C13"/>
    <w:rsid w:val="00D04EA9"/>
    <w:rsid w:val="00D11F7E"/>
    <w:rsid w:val="00D12E5C"/>
    <w:rsid w:val="00D25D99"/>
    <w:rsid w:val="00D322C1"/>
    <w:rsid w:val="00D3353D"/>
    <w:rsid w:val="00D46AB4"/>
    <w:rsid w:val="00D50469"/>
    <w:rsid w:val="00D5050A"/>
    <w:rsid w:val="00D52777"/>
    <w:rsid w:val="00D6171C"/>
    <w:rsid w:val="00D64698"/>
    <w:rsid w:val="00D66B91"/>
    <w:rsid w:val="00D754E9"/>
    <w:rsid w:val="00D82DE2"/>
    <w:rsid w:val="00DB0759"/>
    <w:rsid w:val="00DB33F0"/>
    <w:rsid w:val="00DC6394"/>
    <w:rsid w:val="00DE1A66"/>
    <w:rsid w:val="00DE4FFA"/>
    <w:rsid w:val="00DF7DAC"/>
    <w:rsid w:val="00E00270"/>
    <w:rsid w:val="00E00AF4"/>
    <w:rsid w:val="00E018B9"/>
    <w:rsid w:val="00E02663"/>
    <w:rsid w:val="00E06D40"/>
    <w:rsid w:val="00E30739"/>
    <w:rsid w:val="00E30A15"/>
    <w:rsid w:val="00E42DFD"/>
    <w:rsid w:val="00E46761"/>
    <w:rsid w:val="00E544FE"/>
    <w:rsid w:val="00E85981"/>
    <w:rsid w:val="00E877F3"/>
    <w:rsid w:val="00E907DF"/>
    <w:rsid w:val="00E927B0"/>
    <w:rsid w:val="00E95402"/>
    <w:rsid w:val="00EA77A0"/>
    <w:rsid w:val="00EB4AE4"/>
    <w:rsid w:val="00EC705C"/>
    <w:rsid w:val="00ED4BB4"/>
    <w:rsid w:val="00EE0A9B"/>
    <w:rsid w:val="00EF003B"/>
    <w:rsid w:val="00EF08AB"/>
    <w:rsid w:val="00F0706C"/>
    <w:rsid w:val="00F3633E"/>
    <w:rsid w:val="00F400DD"/>
    <w:rsid w:val="00F42BD6"/>
    <w:rsid w:val="00F456CE"/>
    <w:rsid w:val="00F60E5C"/>
    <w:rsid w:val="00F7033D"/>
    <w:rsid w:val="00F85C32"/>
    <w:rsid w:val="00F87011"/>
    <w:rsid w:val="00F920C0"/>
    <w:rsid w:val="00FA4DA3"/>
    <w:rsid w:val="00FC5225"/>
    <w:rsid w:val="00FD0820"/>
    <w:rsid w:val="00FE33C6"/>
    <w:rsid w:val="00FF098F"/>
    <w:rsid w:val="02D72FC8"/>
    <w:rsid w:val="03B75841"/>
    <w:rsid w:val="056A6870"/>
    <w:rsid w:val="0CE0512D"/>
    <w:rsid w:val="0F974FC1"/>
    <w:rsid w:val="0FB748D6"/>
    <w:rsid w:val="10BB6702"/>
    <w:rsid w:val="14122707"/>
    <w:rsid w:val="19376A6C"/>
    <w:rsid w:val="1C1A754A"/>
    <w:rsid w:val="21243CEE"/>
    <w:rsid w:val="2A6D37AC"/>
    <w:rsid w:val="30C036AD"/>
    <w:rsid w:val="3914404A"/>
    <w:rsid w:val="393841BF"/>
    <w:rsid w:val="3A332488"/>
    <w:rsid w:val="3CA15E61"/>
    <w:rsid w:val="3E636AFE"/>
    <w:rsid w:val="3F1F0B90"/>
    <w:rsid w:val="41B33910"/>
    <w:rsid w:val="43FE296B"/>
    <w:rsid w:val="484653A1"/>
    <w:rsid w:val="49FA026B"/>
    <w:rsid w:val="4AF6357F"/>
    <w:rsid w:val="4B163B89"/>
    <w:rsid w:val="4F105D44"/>
    <w:rsid w:val="570E14B6"/>
    <w:rsid w:val="59F50AA6"/>
    <w:rsid w:val="5C264F93"/>
    <w:rsid w:val="61EA08E4"/>
    <w:rsid w:val="63124391"/>
    <w:rsid w:val="634F3430"/>
    <w:rsid w:val="63AB1A91"/>
    <w:rsid w:val="6446621A"/>
    <w:rsid w:val="66414F48"/>
    <w:rsid w:val="716C68BB"/>
    <w:rsid w:val="732B415C"/>
    <w:rsid w:val="752E55CB"/>
    <w:rsid w:val="755816F6"/>
    <w:rsid w:val="75B36944"/>
    <w:rsid w:val="76A40EAF"/>
    <w:rsid w:val="76F24560"/>
    <w:rsid w:val="789055EC"/>
    <w:rsid w:val="7B33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仿宋_GB2312" w:eastAsia="仿宋_GB2312" w:hAnsi="宋体"/>
      <w:b/>
      <w:bCs/>
      <w:kern w:val="44"/>
      <w:sz w:val="44"/>
      <w:szCs w:val="44"/>
    </w:rPr>
  </w:style>
  <w:style w:type="character" w:default="1" w:styleId="a0">
    <w:name w:val="Default Paragraph Font"/>
    <w:link w:val="Char1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styleId="a4">
    <w:name w:val="FollowedHyperlink"/>
    <w:rPr>
      <w:color w:val="800080"/>
      <w:u w:val="single"/>
    </w:rPr>
  </w:style>
  <w:style w:type="character" w:customStyle="1" w:styleId="font91">
    <w:name w:val="font91"/>
    <w:rPr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Char1">
    <w:name w:val="Char1"/>
    <w:basedOn w:val="a"/>
    <w:link w:val="a0"/>
    <w:pPr>
      <w:keepNext/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Normal (Web)"/>
    <w:basedOn w:val="a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paragraph" w:styleId="aa">
    <w:name w:val="No Spacing"/>
    <w:uiPriority w:val="1"/>
    <w:qFormat/>
    <w:rPr>
      <w:rFonts w:ascii="Calibri" w:hAnsi="Calibri" w:cs="Arial"/>
      <w:sz w:val="22"/>
      <w:szCs w:val="22"/>
      <w:lang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c.edu.cn/article/27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sc.edu.cn/article/337" TargetMode="External"/><Relationship Id="rId12" Type="http://schemas.openxmlformats.org/officeDocument/2006/relationships/hyperlink" Target="mailto:lgyang@csc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sc.edu.cn/article/280" TargetMode="External"/><Relationship Id="rId11" Type="http://schemas.openxmlformats.org/officeDocument/2006/relationships/hyperlink" Target="http://www.csc.edu.cn/article/276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csc.edu.cn/article/34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sc.edu.cn/article/33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番茄花园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2007-2009年度法中科学及应用基金会博士后项目遴选通知</dc:title>
  <dc:creator>番茄花园</dc:creator>
  <cp:lastModifiedBy>国际处办公室1</cp:lastModifiedBy>
  <cp:revision>2</cp:revision>
  <cp:lastPrinted>2016-05-09T06:41:00Z</cp:lastPrinted>
  <dcterms:created xsi:type="dcterms:W3CDTF">2016-05-16T08:09:00Z</dcterms:created>
  <dcterms:modified xsi:type="dcterms:W3CDTF">2016-05-16T08:09:00Z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